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B354" w14:textId="68E450CB" w:rsidR="00905FE1" w:rsidRPr="00273D99" w:rsidRDefault="00905FE1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b/>
          <w:bCs/>
          <w:sz w:val="28"/>
          <w:szCs w:val="28"/>
          <w:u w:val="single"/>
        </w:rPr>
      </w:pPr>
      <w:r w:rsidRPr="00703E5A">
        <w:rPr>
          <w:rFonts w:ascii="Times New Roman" w:hAnsi="Times New Roman"/>
          <w:b/>
          <w:bCs/>
          <w:sz w:val="28"/>
          <w:szCs w:val="28"/>
          <w:u w:val="single"/>
        </w:rPr>
        <w:t>Soluzioni Test d’ingresso Lingua e cultura greca</w:t>
      </w:r>
      <w:r w:rsidR="00C9632B" w:rsidRPr="00273D99">
        <w:rPr>
          <w:rFonts w:ascii="Times New Roman" w:hAnsi="Times New Roman" w:cs="DINPro-Regular"/>
          <w:b/>
          <w:bCs/>
          <w:sz w:val="28"/>
          <w:szCs w:val="28"/>
          <w:u w:val="single"/>
        </w:rPr>
        <w:t xml:space="preserve"> - Quinto anno</w:t>
      </w:r>
    </w:p>
    <w:p w14:paraId="7570C184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1. </w:t>
      </w:r>
      <w:r w:rsidRPr="00273D99">
        <w:rPr>
          <w:rFonts w:ascii="Times New Roman" w:hAnsi="Times New Roman" w:cs="DINPro-Regular"/>
          <w:sz w:val="24"/>
          <w:szCs w:val="24"/>
        </w:rPr>
        <w:t>Fu molto utile a loro per la corretta amministrazione della città (lett. “per l’amministrare correttamente la città”), dato che si ritiene che ci siano due tipi di uguaglianza, l’una che assegna a tutti la stessa parte, l’altra che (assegna) a ciascuno ciò che gli spetta, il fatto che essi non ignoravano quella più utile, ma rifiutavano quella che ritiene degni degli stessi onori i buoni e i malvagi pensando che fosse ingiusta, mentre preferivano quella che onora e punisce ciascuno secondo il merito e con questa amministravano la città, non tirando a sorte i magistrati tra tutti ma prescegliendo i migliori e i più adatti a ciascuno dei compiti.</w:t>
      </w:r>
    </w:p>
    <w:p w14:paraId="01BCEA1B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2. </w:t>
      </w:r>
      <w:r w:rsidRPr="00273D99">
        <w:rPr>
          <w:rFonts w:ascii="Times New Roman" w:hAnsi="Times New Roman" w:cs="DINPro-Regular"/>
          <w:sz w:val="24"/>
          <w:szCs w:val="24"/>
        </w:rPr>
        <w:t xml:space="preserve">1.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τοῦ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τα</w:t>
      </w:r>
      <w:proofErr w:type="spellStart"/>
      <w:r w:rsidRPr="00273D99">
        <w:rPr>
          <w:rFonts w:ascii="OdysseaU" w:hAnsi="OdysseaU" w:cs="DINPro-Bold"/>
          <w:sz w:val="24"/>
          <w:szCs w:val="24"/>
        </w:rPr>
        <w:t>ῦτ</w:t>
      </w:r>
      <w:proofErr w:type="spellEnd"/>
      <w:r w:rsidRPr="00273D99">
        <w:rPr>
          <w:rFonts w:ascii="OdysseaU" w:hAnsi="OdysseaU" w:cs="DINPro-Bold"/>
          <w:sz w:val="24"/>
          <w:szCs w:val="24"/>
        </w:rPr>
        <w:t>α π</w:t>
      </w:r>
      <w:proofErr w:type="spellStart"/>
      <w:r w:rsidRPr="00273D99">
        <w:rPr>
          <w:rFonts w:ascii="OdysseaU" w:hAnsi="OdysseaU" w:cs="DINPro-Bold"/>
          <w:sz w:val="24"/>
          <w:szCs w:val="24"/>
        </w:rPr>
        <w:t>οιεῖν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: complemento di specificazione. • 2. </w:t>
      </w:r>
      <w:r w:rsidRPr="00273D99">
        <w:rPr>
          <w:rFonts w:ascii="OdysseaU" w:hAnsi="OdysseaU" w:cs="DINPro-Bold"/>
          <w:sz w:val="24"/>
          <w:szCs w:val="24"/>
        </w:rPr>
        <w:t>π</w:t>
      </w:r>
      <w:proofErr w:type="spellStart"/>
      <w:r w:rsidRPr="00273D99">
        <w:rPr>
          <w:rFonts w:ascii="OdysseaU" w:hAnsi="OdysseaU" w:cs="DINPro-Bold"/>
          <w:sz w:val="24"/>
          <w:szCs w:val="24"/>
        </w:rPr>
        <w:t>ρὸς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τὸ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κα</w:t>
      </w:r>
      <w:proofErr w:type="spellStart"/>
      <w:r w:rsidRPr="00273D99">
        <w:rPr>
          <w:rFonts w:ascii="OdysseaU" w:hAnsi="OdysseaU" w:cs="DINPro-Bold"/>
          <w:sz w:val="24"/>
          <w:szCs w:val="24"/>
        </w:rPr>
        <w:t>λῶς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οἰκεῖν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>: complemento di fine.</w:t>
      </w:r>
    </w:p>
    <w:p w14:paraId="476DB8BE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3. </w:t>
      </w:r>
      <w:r w:rsidRPr="00273D99">
        <w:rPr>
          <w:rFonts w:ascii="Times New Roman" w:hAnsi="Times New Roman" w:cs="DINPro-Regular"/>
          <w:sz w:val="24"/>
          <w:szCs w:val="24"/>
        </w:rPr>
        <w:t xml:space="preserve">1.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Οἱ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...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διοικοῦντες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nom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m.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plur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., da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διοικέω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• 2.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τοῖς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</w:t>
      </w:r>
      <w:proofErr w:type="spellStart"/>
      <w:r w:rsidRPr="00273D99">
        <w:rPr>
          <w:rFonts w:ascii="OdysseaU" w:hAnsi="OdysseaU" w:cs="DINPro-Bold"/>
          <w:sz w:val="24"/>
          <w:szCs w:val="24"/>
        </w:rPr>
        <w:t>ἐντυγχάνουσ</w:t>
      </w:r>
      <w:r w:rsidRPr="00273D99">
        <w:rPr>
          <w:rFonts w:ascii="Times New Roman" w:hAnsi="Times New Roman" w:cs="DINPro-Regular"/>
          <w:sz w:val="24"/>
          <w:szCs w:val="24"/>
        </w:rPr>
        <w:t>ι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dat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m.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plur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., da </w:t>
      </w:r>
      <w:proofErr w:type="spellStart"/>
      <w:r w:rsidRPr="00273D99">
        <w:rPr>
          <w:rFonts w:ascii="OdysseaU" w:hAnsi="OdysseaU" w:cs="DINPro-Bold"/>
          <w:sz w:val="24"/>
          <w:szCs w:val="24"/>
        </w:rPr>
        <w:t>ἐντυγχάνω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• 3.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τῆς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μέν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...</w:t>
      </w:r>
      <w:r w:rsidRPr="00273D99">
        <w:rPr>
          <w:rFonts w:ascii="Times New Roman" w:hAnsi="Times New Roman" w:cs="DINPro-Bold"/>
          <w:sz w:val="24"/>
          <w:szCs w:val="24"/>
        </w:rPr>
        <w:t> </w:t>
      </w:r>
      <w:r w:rsidRPr="00F97271">
        <w:rPr>
          <w:rFonts w:ascii="OdysseaU" w:hAnsi="OdysseaU" w:cs="Times New Roman"/>
          <w:sz w:val="24"/>
          <w:szCs w:val="24"/>
        </w:rPr>
        <w:t>ἀ</w:t>
      </w:r>
      <w:r w:rsidRPr="00273D99">
        <w:rPr>
          <w:rFonts w:ascii="OdysseaU" w:hAnsi="OdysseaU" w:cs="DINPro-Bold"/>
          <w:sz w:val="24"/>
          <w:szCs w:val="24"/>
        </w:rPr>
        <w:t>π</w:t>
      </w:r>
      <w:proofErr w:type="spellStart"/>
      <w:r w:rsidRPr="00273D99">
        <w:rPr>
          <w:rFonts w:ascii="OdysseaU" w:hAnsi="OdysseaU" w:cs="DINPro-Bold"/>
          <w:sz w:val="24"/>
          <w:szCs w:val="24"/>
        </w:rPr>
        <w:t>ονεμούσης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gen. f.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sing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., da </w:t>
      </w:r>
      <w:r w:rsidRPr="00F97271">
        <w:rPr>
          <w:rFonts w:ascii="OdysseaU" w:hAnsi="OdysseaU" w:cs="Times New Roman"/>
          <w:sz w:val="24"/>
          <w:szCs w:val="24"/>
        </w:rPr>
        <w:t>ἀ</w:t>
      </w:r>
      <w:r w:rsidRPr="00273D99">
        <w:rPr>
          <w:rFonts w:ascii="OdysseaU" w:hAnsi="OdysseaU" w:cs="DINPro-Bold"/>
          <w:sz w:val="24"/>
          <w:szCs w:val="24"/>
        </w:rPr>
        <w:t>π</w:t>
      </w:r>
      <w:proofErr w:type="spellStart"/>
      <w:r w:rsidRPr="00273D99">
        <w:rPr>
          <w:rFonts w:ascii="OdysseaU" w:hAnsi="OdysseaU" w:cs="DINPro-Bold"/>
          <w:sz w:val="24"/>
          <w:szCs w:val="24"/>
        </w:rPr>
        <w:t>ονέμω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• 4.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τήν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...</w:t>
      </w:r>
      <w:r w:rsidRPr="00273D99">
        <w:rPr>
          <w:rFonts w:ascii="Times New Roman" w:hAnsi="Times New Roman" w:cs="DINPro-Bold"/>
          <w:sz w:val="24"/>
          <w:szCs w:val="24"/>
        </w:rPr>
        <w:t> </w:t>
      </w:r>
      <w:proofErr w:type="spellStart"/>
      <w:r w:rsidRPr="00F97271">
        <w:rPr>
          <w:rFonts w:ascii="OdysseaU" w:hAnsi="OdysseaU" w:cs="Times New Roman"/>
          <w:sz w:val="24"/>
          <w:szCs w:val="24"/>
        </w:rPr>
        <w:t>ἀ</w:t>
      </w:r>
      <w:r w:rsidRPr="00273D99">
        <w:rPr>
          <w:rFonts w:ascii="OdysseaU" w:hAnsi="OdysseaU" w:cs="DINPro-Bold"/>
          <w:sz w:val="24"/>
          <w:szCs w:val="24"/>
        </w:rPr>
        <w:t>ξιοῦσ</w:t>
      </w:r>
      <w:proofErr w:type="spellEnd"/>
      <w:r w:rsidRPr="00273D99">
        <w:rPr>
          <w:rFonts w:ascii="OdysseaU" w:hAnsi="OdysseaU" w:cs="DINPro-Bold"/>
          <w:sz w:val="24"/>
          <w:szCs w:val="24"/>
        </w:rPr>
        <w:t>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acc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f.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sing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., da </w:t>
      </w:r>
      <w:proofErr w:type="spellStart"/>
      <w:r w:rsidRPr="00F97271">
        <w:rPr>
          <w:rFonts w:ascii="OdysseaU" w:hAnsi="OdysseaU" w:cs="Times New Roman"/>
          <w:sz w:val="24"/>
          <w:szCs w:val="24"/>
        </w:rPr>
        <w:t>ἀ</w:t>
      </w:r>
      <w:r w:rsidRPr="00273D99">
        <w:rPr>
          <w:rFonts w:ascii="OdysseaU" w:hAnsi="OdysseaU" w:cs="DINPro-Bold"/>
          <w:sz w:val="24"/>
          <w:szCs w:val="24"/>
        </w:rPr>
        <w:t>ξιόω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• 5.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τὸ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π</w:t>
      </w:r>
      <w:proofErr w:type="spellStart"/>
      <w:r w:rsidRPr="00273D99">
        <w:rPr>
          <w:rFonts w:ascii="OdysseaU" w:hAnsi="OdysseaU" w:cs="DINPro-Bold"/>
          <w:sz w:val="24"/>
          <w:szCs w:val="24"/>
        </w:rPr>
        <w:t>ροσῆκον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acc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n.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sing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., da </w:t>
      </w:r>
      <w:r w:rsidRPr="00273D99">
        <w:rPr>
          <w:rFonts w:ascii="OdysseaU" w:hAnsi="OdysseaU" w:cs="DINPro-Bold"/>
          <w:sz w:val="24"/>
          <w:szCs w:val="24"/>
        </w:rPr>
        <w:t>π</w:t>
      </w:r>
      <w:proofErr w:type="spellStart"/>
      <w:r w:rsidRPr="00273D99">
        <w:rPr>
          <w:rFonts w:ascii="OdysseaU" w:hAnsi="OdysseaU" w:cs="DINPro-Bold"/>
          <w:sz w:val="24"/>
          <w:szCs w:val="24"/>
        </w:rPr>
        <w:t>ροσήκω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• 6.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τήν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...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τιμῶσ</w:t>
      </w:r>
      <w:proofErr w:type="spellEnd"/>
      <w:r w:rsidRPr="00273D99">
        <w:rPr>
          <w:rFonts w:ascii="OdysseaU" w:hAnsi="OdysseaU" w:cs="DINPro-Bold"/>
          <w:sz w:val="24"/>
          <w:szCs w:val="24"/>
        </w:rPr>
        <w:t>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acc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f.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sing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., da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τιμάω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• </w:t>
      </w: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7. </w:t>
      </w:r>
      <w:r w:rsidRPr="00273D99">
        <w:rPr>
          <w:rFonts w:ascii="Times New Roman" w:hAnsi="Times New Roman" w:cs="DINPro-Regular"/>
          <w:sz w:val="24"/>
          <w:szCs w:val="24"/>
        </w:rPr>
        <w:t>(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τήν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) ...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κολάζουσ</w:t>
      </w:r>
      <w:proofErr w:type="spellEnd"/>
      <w:r w:rsidRPr="00273D99">
        <w:rPr>
          <w:rFonts w:ascii="OdysseaU" w:hAnsi="OdysseaU" w:cs="DINPro-Bold"/>
          <w:sz w:val="24"/>
          <w:szCs w:val="24"/>
        </w:rPr>
        <w:t>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participio presente,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acc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 f. </w:t>
      </w:r>
      <w:proofErr w:type="spellStart"/>
      <w:r w:rsidRPr="00273D99">
        <w:rPr>
          <w:rFonts w:ascii="Times New Roman" w:hAnsi="Times New Roman" w:cs="DINPro-Regular"/>
          <w:sz w:val="24"/>
          <w:szCs w:val="24"/>
        </w:rPr>
        <w:t>sing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., da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κολάζω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>.</w:t>
      </w:r>
    </w:p>
    <w:p w14:paraId="57552DF0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4. </w:t>
      </w:r>
      <w:r w:rsidRPr="00273D99">
        <w:rPr>
          <w:rFonts w:ascii="Times New Roman" w:hAnsi="Times New Roman" w:cs="DINPro-Regular"/>
          <w:sz w:val="24"/>
          <w:szCs w:val="24"/>
        </w:rPr>
        <w:t xml:space="preserve">1. Una proposizione consecutiva. • 2. Si tratta di una congiunzione che introduce una proposizione dichiarativa il cui verbo è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οὐκ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</w:t>
      </w:r>
      <w:proofErr w:type="spellStart"/>
      <w:r w:rsidRPr="00273D99">
        <w:rPr>
          <w:rFonts w:ascii="OdysseaU" w:hAnsi="OdysseaU" w:cs="DINPro-Bold"/>
          <w:sz w:val="24"/>
          <w:szCs w:val="24"/>
        </w:rPr>
        <w:t>ἠγνόουν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>. • 3. È un genitivo assoluto. • 4. Perché il confronto è tra due elementi, in questo caso le due forme di uguaglianza. • 5. Conferisce valore causale soggettivo (“poiché, secondo loro...” oppure “pensando che...”). • 6. Si tratta di una litote, che mette in rilievo il termine positivo (</w:t>
      </w:r>
      <w:proofErr w:type="spellStart"/>
      <w:r w:rsidRPr="00273D99">
        <w:rPr>
          <w:rFonts w:ascii="OdysseaU" w:hAnsi="OdysseaU" w:cs="DINPro-Bold"/>
          <w:sz w:val="24"/>
          <w:szCs w:val="24"/>
        </w:rPr>
        <w:t>δικ</w:t>
      </w:r>
      <w:proofErr w:type="spellEnd"/>
      <w:r w:rsidRPr="00273D99">
        <w:rPr>
          <w:rFonts w:ascii="OdysseaU" w:hAnsi="OdysseaU" w:cs="DINPro-Bold"/>
          <w:sz w:val="24"/>
          <w:szCs w:val="24"/>
        </w:rPr>
        <w:t>αίαν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) per poi negarlo, dimostrando la negatività della costituzione rifiutata dai legislatori antichi. • 7. Un complemento partitivo. • 8. Conferisce una sfumatura eventuale al congiuntivo </w:t>
      </w:r>
      <w:proofErr w:type="spellStart"/>
      <w:r w:rsidRPr="00273D99">
        <w:rPr>
          <w:rFonts w:ascii="OdysseaU" w:hAnsi="OdysseaU" w:cs="DINPro-Bold"/>
          <w:sz w:val="24"/>
          <w:szCs w:val="24"/>
        </w:rPr>
        <w:t>ὦσιν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>.</w:t>
      </w:r>
    </w:p>
    <w:p w14:paraId="79D023A8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OdysseaU"/>
          <w:sz w:val="24"/>
          <w:szCs w:val="24"/>
        </w:rPr>
      </w:pPr>
      <w:r w:rsidRPr="00273D99">
        <w:rPr>
          <w:rFonts w:ascii="Times New Roman" w:hAnsi="Times New Roman" w:cs="DINPro-Regular"/>
          <w:b/>
          <w:bCs/>
          <w:sz w:val="24"/>
          <w:szCs w:val="24"/>
        </w:rPr>
        <w:t xml:space="preserve">5. </w:t>
      </w:r>
      <w:r w:rsidRPr="00273D99">
        <w:rPr>
          <w:rFonts w:ascii="Times New Roman" w:hAnsi="Times New Roman" w:cs="DINPro-Regular"/>
          <w:sz w:val="24"/>
          <w:szCs w:val="24"/>
        </w:rPr>
        <w:t xml:space="preserve">1. </w:t>
      </w:r>
      <w:proofErr w:type="spellStart"/>
      <w:r w:rsidRPr="00273D99">
        <w:rPr>
          <w:rFonts w:ascii="OdysseaU" w:hAnsi="OdysseaU" w:cs="DINPro-Bold"/>
          <w:sz w:val="24"/>
          <w:szCs w:val="24"/>
        </w:rPr>
        <w:t>ἀκολ</w:t>
      </w:r>
      <w:proofErr w:type="spellEnd"/>
      <w:r w:rsidRPr="00273D99">
        <w:rPr>
          <w:rFonts w:ascii="OdysseaU" w:hAnsi="OdysseaU" w:cs="DINPro-Bold"/>
          <w:sz w:val="24"/>
          <w:szCs w:val="24"/>
        </w:rPr>
        <w:t>ασίαν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</w:t>
      </w:r>
      <w:r w:rsidRPr="00273D99">
        <w:rPr>
          <w:rFonts w:ascii="OdysseaU" w:hAnsi="OdysseaU" w:cs="DINPro-Bold"/>
          <w:sz w:val="24"/>
          <w:szCs w:val="24"/>
        </w:rPr>
        <w:t>ἀ</w:t>
      </w:r>
      <w:r w:rsidRPr="00273D99">
        <w:rPr>
          <w:rFonts w:ascii="Times New Roman" w:hAnsi="Times New Roman" w:cs="DINPro-Regular"/>
          <w:sz w:val="24"/>
          <w:szCs w:val="24"/>
        </w:rPr>
        <w:t xml:space="preserve">- privativo +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κολάζω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, “senza essere punito”;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δημοκρ</w:t>
      </w:r>
      <w:proofErr w:type="spellEnd"/>
      <w:r w:rsidRPr="00273D99">
        <w:rPr>
          <w:rFonts w:ascii="OdysseaU" w:hAnsi="OdysseaU" w:cs="DINPro-Bold"/>
          <w:sz w:val="24"/>
          <w:szCs w:val="24"/>
        </w:rPr>
        <w:t>ατίαν</w:t>
      </w:r>
      <w:r w:rsidRPr="00273D99">
        <w:rPr>
          <w:rFonts w:ascii="Times New Roman" w:hAnsi="Times New Roman" w:cs="DINPro-Regular"/>
          <w:sz w:val="24"/>
          <w:szCs w:val="24"/>
        </w:rPr>
        <w:t xml:space="preserve">: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δῆμος</w:t>
      </w:r>
      <w:proofErr w:type="spellEnd"/>
      <w:r w:rsidRPr="00273D99">
        <w:rPr>
          <w:rFonts w:ascii="Times New Roman" w:hAnsi="Times New Roman" w:cs="DINPro-Regular"/>
          <w:sz w:val="24"/>
          <w:szCs w:val="24"/>
        </w:rPr>
        <w:t xml:space="preserve"> +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κράτος</w:t>
      </w:r>
      <w:proofErr w:type="spellEnd"/>
      <w:r w:rsidRPr="00273D99">
        <w:rPr>
          <w:rFonts w:ascii="Times New Roman" w:hAnsi="Times New Roman" w:cs="OdysseaU"/>
          <w:sz w:val="24"/>
          <w:szCs w:val="24"/>
        </w:rPr>
        <w:t xml:space="preserve">, “potere del popolo”; </w:t>
      </w:r>
      <w:r w:rsidRPr="00273D99">
        <w:rPr>
          <w:rFonts w:ascii="OdysseaU" w:hAnsi="OdysseaU" w:cs="DINPro-Bold"/>
          <w:sz w:val="24"/>
          <w:szCs w:val="24"/>
        </w:rPr>
        <w:t>παρα</w:t>
      </w:r>
      <w:proofErr w:type="spellStart"/>
      <w:r w:rsidRPr="00273D99">
        <w:rPr>
          <w:rFonts w:ascii="OdysseaU" w:hAnsi="OdysseaU" w:cs="DINPro-Bold"/>
          <w:sz w:val="24"/>
          <w:szCs w:val="24"/>
        </w:rPr>
        <w:t>νομί</w:t>
      </w:r>
      <w:proofErr w:type="spellEnd"/>
      <w:r w:rsidRPr="00273D99">
        <w:rPr>
          <w:rFonts w:ascii="OdysseaU" w:hAnsi="OdysseaU" w:cs="DINPro-Bold"/>
          <w:sz w:val="24"/>
          <w:szCs w:val="24"/>
        </w:rPr>
        <w:t>αν</w:t>
      </w:r>
      <w:r w:rsidRPr="00273D99">
        <w:rPr>
          <w:rFonts w:ascii="Times New Roman" w:hAnsi="Times New Roman" w:cs="OdysseaU"/>
          <w:sz w:val="24"/>
          <w:szCs w:val="24"/>
        </w:rPr>
        <w:t xml:space="preserve">: </w:t>
      </w:r>
      <w:r w:rsidRPr="00273D99">
        <w:rPr>
          <w:rFonts w:ascii="OdysseaU" w:hAnsi="OdysseaU" w:cs="DINPro-Bold"/>
          <w:sz w:val="24"/>
          <w:szCs w:val="24"/>
        </w:rPr>
        <w:t>πα</w:t>
      </w:r>
      <w:proofErr w:type="spellStart"/>
      <w:r w:rsidRPr="00273D99">
        <w:rPr>
          <w:rFonts w:ascii="OdysseaU" w:hAnsi="OdysseaU" w:cs="DINPro-Bold"/>
          <w:sz w:val="24"/>
          <w:szCs w:val="24"/>
        </w:rPr>
        <w:t>ρά</w:t>
      </w:r>
      <w:proofErr w:type="spellEnd"/>
      <w:r w:rsidRPr="00273D99">
        <w:rPr>
          <w:rFonts w:ascii="Times New Roman" w:hAnsi="Times New Roman" w:cs="OdysseaU"/>
          <w:sz w:val="24"/>
          <w:szCs w:val="24"/>
        </w:rPr>
        <w:t xml:space="preserve"> +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νόμος</w:t>
      </w:r>
      <w:proofErr w:type="spellEnd"/>
      <w:r w:rsidRPr="00273D99">
        <w:rPr>
          <w:rFonts w:ascii="Times New Roman" w:hAnsi="Times New Roman" w:cs="OdysseaU"/>
          <w:sz w:val="24"/>
          <w:szCs w:val="24"/>
        </w:rPr>
        <w:t xml:space="preserve">, “contro la legge”; </w:t>
      </w:r>
      <w:r w:rsidRPr="00273D99">
        <w:rPr>
          <w:rFonts w:ascii="OdysseaU" w:hAnsi="OdysseaU" w:cs="DINPro-Bold"/>
          <w:sz w:val="24"/>
          <w:szCs w:val="24"/>
        </w:rPr>
        <w:t>πα</w:t>
      </w:r>
      <w:proofErr w:type="spellStart"/>
      <w:r w:rsidRPr="00273D99">
        <w:rPr>
          <w:rFonts w:ascii="OdysseaU" w:hAnsi="OdysseaU" w:cs="DINPro-Bold"/>
          <w:sz w:val="24"/>
          <w:szCs w:val="24"/>
        </w:rPr>
        <w:t>ρρησί</w:t>
      </w:r>
      <w:proofErr w:type="spellEnd"/>
      <w:r w:rsidRPr="00273D99">
        <w:rPr>
          <w:rFonts w:ascii="OdysseaU" w:hAnsi="OdysseaU" w:cs="DINPro-Bold"/>
          <w:sz w:val="24"/>
          <w:szCs w:val="24"/>
        </w:rPr>
        <w:t>αν</w:t>
      </w:r>
      <w:r w:rsidRPr="00273D99">
        <w:rPr>
          <w:rFonts w:ascii="Times New Roman" w:hAnsi="Times New Roman" w:cs="OdysseaU"/>
          <w:sz w:val="24"/>
          <w:szCs w:val="24"/>
        </w:rPr>
        <w:t xml:space="preserve">: </w:t>
      </w:r>
      <w:r w:rsidRPr="00273D99">
        <w:rPr>
          <w:rFonts w:ascii="OdysseaU" w:hAnsi="OdysseaU" w:cs="DINPro-Bold"/>
          <w:sz w:val="24"/>
          <w:szCs w:val="24"/>
        </w:rPr>
        <w:t>π</w:t>
      </w:r>
      <w:proofErr w:type="spellStart"/>
      <w:r w:rsidRPr="00273D99">
        <w:rPr>
          <w:rFonts w:ascii="OdysseaU" w:hAnsi="OdysseaU" w:cs="DINPro-Bold"/>
          <w:sz w:val="24"/>
          <w:szCs w:val="24"/>
        </w:rPr>
        <w:t>ᾶς</w:t>
      </w:r>
      <w:proofErr w:type="spellEnd"/>
      <w:r w:rsidRPr="00273D99">
        <w:rPr>
          <w:rFonts w:ascii="Times New Roman" w:hAnsi="Times New Roman" w:cs="OdysseaU"/>
          <w:sz w:val="24"/>
          <w:szCs w:val="24"/>
        </w:rPr>
        <w:t xml:space="preserve"> + </w:t>
      </w:r>
      <w:proofErr w:type="spellStart"/>
      <w:r w:rsidRPr="00273D99">
        <w:rPr>
          <w:rFonts w:ascii="OdysseaU" w:hAnsi="OdysseaU" w:cs="DINPro-Bold"/>
          <w:sz w:val="24"/>
          <w:szCs w:val="24"/>
        </w:rPr>
        <w:t>ῥητός</w:t>
      </w:r>
      <w:proofErr w:type="spellEnd"/>
      <w:r w:rsidRPr="00273D99">
        <w:rPr>
          <w:rFonts w:ascii="Times New Roman" w:hAnsi="Times New Roman" w:cs="OdysseaU"/>
          <w:sz w:val="24"/>
          <w:szCs w:val="24"/>
        </w:rPr>
        <w:t xml:space="preserve">, “può essere espressa ogni cosa”; </w:t>
      </w:r>
      <w:proofErr w:type="spellStart"/>
      <w:r w:rsidRPr="00273D99">
        <w:rPr>
          <w:rFonts w:ascii="OdysseaU" w:hAnsi="OdysseaU" w:cs="DINPro-Bold"/>
          <w:sz w:val="24"/>
          <w:szCs w:val="24"/>
        </w:rPr>
        <w:t>ἰσονομί</w:t>
      </w:r>
      <w:proofErr w:type="spellEnd"/>
      <w:r w:rsidRPr="00273D99">
        <w:rPr>
          <w:rFonts w:ascii="OdysseaU" w:hAnsi="OdysseaU" w:cs="DINPro-Bold"/>
          <w:sz w:val="24"/>
          <w:szCs w:val="24"/>
        </w:rPr>
        <w:t>αν</w:t>
      </w:r>
      <w:r w:rsidRPr="00273D99">
        <w:rPr>
          <w:rFonts w:ascii="Times New Roman" w:hAnsi="Times New Roman" w:cs="OdysseaU"/>
          <w:sz w:val="24"/>
          <w:szCs w:val="24"/>
        </w:rPr>
        <w:t xml:space="preserve">: </w:t>
      </w:r>
      <w:proofErr w:type="spellStart"/>
      <w:r w:rsidRPr="00273D99">
        <w:rPr>
          <w:rFonts w:ascii="OdysseaU" w:hAnsi="OdysseaU" w:cs="DINPro-Bold"/>
          <w:sz w:val="24"/>
          <w:szCs w:val="24"/>
        </w:rPr>
        <w:t>ἴσος</w:t>
      </w:r>
      <w:proofErr w:type="spellEnd"/>
      <w:r w:rsidRPr="00273D99">
        <w:rPr>
          <w:rFonts w:ascii="Times New Roman" w:hAnsi="Times New Roman" w:cs="OdysseaU"/>
          <w:sz w:val="24"/>
          <w:szCs w:val="24"/>
        </w:rPr>
        <w:t xml:space="preserve"> +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νόμος</w:t>
      </w:r>
      <w:proofErr w:type="spellEnd"/>
      <w:r w:rsidRPr="00273D99">
        <w:rPr>
          <w:rFonts w:ascii="Times New Roman" w:hAnsi="Times New Roman" w:cs="OdysseaU"/>
          <w:sz w:val="24"/>
          <w:szCs w:val="24"/>
        </w:rPr>
        <w:t xml:space="preserve">, “uguale diritto”. • 2. Si riferisce all’ambito morale e </w:t>
      </w:r>
      <w:proofErr w:type="gramStart"/>
      <w:r w:rsidRPr="00273D99">
        <w:rPr>
          <w:rFonts w:ascii="Times New Roman" w:hAnsi="Times New Roman" w:cs="OdysseaU"/>
          <w:sz w:val="24"/>
          <w:szCs w:val="24"/>
        </w:rPr>
        <w:t>socio-politico</w:t>
      </w:r>
      <w:proofErr w:type="gramEnd"/>
      <w:r w:rsidRPr="00273D99">
        <w:rPr>
          <w:rFonts w:ascii="Times New Roman" w:hAnsi="Times New Roman" w:cs="OdysseaU"/>
          <w:sz w:val="24"/>
          <w:szCs w:val="24"/>
        </w:rPr>
        <w:t xml:space="preserve">. • 3. Con </w:t>
      </w:r>
      <w:r w:rsidRPr="00273D99">
        <w:rPr>
          <w:rFonts w:ascii="OdysseaU" w:hAnsi="OdysseaU" w:cs="DINPro-Bold"/>
          <w:sz w:val="24"/>
          <w:szCs w:val="24"/>
        </w:rPr>
        <w:t xml:space="preserve">ἐπὶ </w:t>
      </w:r>
      <w:proofErr w:type="spellStart"/>
      <w:r w:rsidRPr="00273D99">
        <w:rPr>
          <w:rFonts w:ascii="OdysseaU" w:hAnsi="OdysseaU" w:cs="DINPro-Bold"/>
          <w:sz w:val="24"/>
          <w:szCs w:val="24"/>
        </w:rPr>
        <w:t>δὲ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</w:t>
      </w:r>
      <w:proofErr w:type="spellStart"/>
      <w:r w:rsidRPr="00273D99">
        <w:rPr>
          <w:rFonts w:ascii="OdysseaU" w:hAnsi="OdysseaU" w:cs="DINPro-Bold"/>
          <w:sz w:val="24"/>
          <w:szCs w:val="24"/>
        </w:rPr>
        <w:t>τῶν</w:t>
      </w:r>
      <w:proofErr w:type="spellEnd"/>
      <w:r w:rsidRPr="00273D99">
        <w:rPr>
          <w:rFonts w:ascii="OdysseaU" w:hAnsi="OdysseaU" w:cs="DINPro-Bold"/>
          <w:sz w:val="24"/>
          <w:szCs w:val="24"/>
        </w:rPr>
        <w:t xml:space="preserve"> π</w:t>
      </w:r>
      <w:proofErr w:type="spellStart"/>
      <w:r w:rsidRPr="00273D99">
        <w:rPr>
          <w:rFonts w:ascii="OdysseaU" w:hAnsi="OdysseaU" w:cs="DINPro-Bold"/>
          <w:sz w:val="24"/>
          <w:szCs w:val="24"/>
        </w:rPr>
        <w:t>ράξεων</w:t>
      </w:r>
      <w:proofErr w:type="spellEnd"/>
      <w:r w:rsidRPr="00273D99">
        <w:rPr>
          <w:rFonts w:ascii="Times New Roman" w:hAnsi="Times New Roman" w:cs="OdysseaU"/>
          <w:sz w:val="24"/>
          <w:szCs w:val="24"/>
        </w:rPr>
        <w:t>.</w:t>
      </w:r>
    </w:p>
    <w:p w14:paraId="40F4CB35" w14:textId="77777777" w:rsidR="00C9632B" w:rsidRPr="00273D99" w:rsidRDefault="00C9632B" w:rsidP="00C963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OdysseaU"/>
          <w:sz w:val="24"/>
          <w:szCs w:val="24"/>
        </w:rPr>
      </w:pPr>
      <w:r w:rsidRPr="00273D99">
        <w:rPr>
          <w:rFonts w:ascii="Times New Roman" w:hAnsi="Times New Roman" w:cs="OdysseaU"/>
          <w:b/>
          <w:bCs/>
          <w:sz w:val="24"/>
          <w:szCs w:val="24"/>
        </w:rPr>
        <w:t xml:space="preserve">6. </w:t>
      </w:r>
      <w:r w:rsidRPr="00273D99">
        <w:rPr>
          <w:rFonts w:ascii="Times New Roman" w:hAnsi="Times New Roman" w:cs="OdysseaU"/>
          <w:bCs/>
          <w:sz w:val="24"/>
          <w:szCs w:val="24"/>
        </w:rPr>
        <w:t>1. Per i legislatori antichi l’uguaglianza non consisteva nel concedere a tutti senza distinzione potere e diritti, ma nello scegliere chi era meritevole e capace di gestire gli incarichi pubblici. • 2. L’indisciplina, la violazione della legge, l’eccessiva libertà di espressione. • 3. Democrazia. • 4. Perché speravano che gli altri seguissero l’esempio della classe dirigente emulandola.</w:t>
      </w:r>
    </w:p>
    <w:p w14:paraId="0A248EBE" w14:textId="77777777" w:rsidR="00C9632B" w:rsidRDefault="00C9632B"/>
    <w:sectPr w:rsidR="00C9632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F670" w14:textId="77777777" w:rsidR="00C92DC5" w:rsidRDefault="00C92DC5" w:rsidP="00C9632B">
      <w:pPr>
        <w:spacing w:after="0" w:line="240" w:lineRule="auto"/>
      </w:pPr>
      <w:r>
        <w:separator/>
      </w:r>
    </w:p>
  </w:endnote>
  <w:endnote w:type="continuationSeparator" w:id="0">
    <w:p w14:paraId="1F47FF44" w14:textId="77777777" w:rsidR="00C92DC5" w:rsidRDefault="00C92DC5" w:rsidP="00C9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OdysseaU">
    <w:altName w:val="Calibri"/>
    <w:charset w:val="00"/>
    <w:family w:val="auto"/>
    <w:pitch w:val="variable"/>
    <w:sig w:usb0="C00000EF" w:usb1="1000006B" w:usb2="00000000" w:usb3="00000000" w:csb0="00000009" w:csb1="00000000"/>
  </w:font>
  <w:font w:name="DINPro-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3EFE" w14:textId="47638518" w:rsidR="00C9632B" w:rsidRPr="00C9632B" w:rsidRDefault="00C9632B" w:rsidP="00C9632B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9A7A8E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BA0B" w14:textId="77777777" w:rsidR="00C92DC5" w:rsidRDefault="00C92DC5" w:rsidP="00C9632B">
      <w:pPr>
        <w:spacing w:after="0" w:line="240" w:lineRule="auto"/>
      </w:pPr>
      <w:r>
        <w:separator/>
      </w:r>
    </w:p>
  </w:footnote>
  <w:footnote w:type="continuationSeparator" w:id="0">
    <w:p w14:paraId="1BE3C3B0" w14:textId="77777777" w:rsidR="00C92DC5" w:rsidRDefault="00C92DC5" w:rsidP="00C96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2B"/>
    <w:rsid w:val="00051C29"/>
    <w:rsid w:val="00905FE1"/>
    <w:rsid w:val="009A7A8E"/>
    <w:rsid w:val="00C8608C"/>
    <w:rsid w:val="00C92DC5"/>
    <w:rsid w:val="00C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2CDF"/>
  <w15:chartTrackingRefBased/>
  <w15:docId w15:val="{992079DB-AE7C-624D-A7E2-AA2B196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32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6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32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96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3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4</cp:revision>
  <dcterms:created xsi:type="dcterms:W3CDTF">2020-09-03T21:54:00Z</dcterms:created>
  <dcterms:modified xsi:type="dcterms:W3CDTF">2023-08-03T10:33:00Z</dcterms:modified>
</cp:coreProperties>
</file>